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C1" w:rsidRDefault="00BE544E">
      <w:pPr>
        <w:pStyle w:val="2"/>
        <w:framePr w:w="9470" w:h="758" w:hRule="exact" w:wrap="around" w:vAnchor="page" w:hAnchor="page" w:x="1234" w:y="1202"/>
        <w:shd w:val="clear" w:color="auto" w:fill="auto"/>
        <w:tabs>
          <w:tab w:val="right" w:leader="underscore" w:pos="8464"/>
          <w:tab w:val="left" w:pos="8618"/>
        </w:tabs>
        <w:spacing w:after="0"/>
        <w:ind w:left="5280" w:right="20"/>
      </w:pPr>
      <w:r>
        <w:t xml:space="preserve">Приложение к приказу МКУ «ДЭАЗиИС» от </w:t>
      </w:r>
      <w:r>
        <w:rPr>
          <w:rStyle w:val="2pt"/>
        </w:rPr>
        <w:t>«</w:t>
      </w:r>
      <w:r w:rsidRPr="0066196D">
        <w:rPr>
          <w:rStyle w:val="17pt-1pt"/>
          <w:sz w:val="32"/>
          <w:szCs w:val="32"/>
        </w:rPr>
        <w:t>3</w:t>
      </w:r>
      <w:r w:rsidR="0066196D" w:rsidRPr="0066196D">
        <w:rPr>
          <w:rStyle w:val="2pt0"/>
          <w:sz w:val="32"/>
          <w:szCs w:val="32"/>
        </w:rPr>
        <w:t>1</w:t>
      </w:r>
      <w:r w:rsidRPr="0066196D">
        <w:rPr>
          <w:rStyle w:val="2pt"/>
          <w:sz w:val="32"/>
          <w:szCs w:val="32"/>
        </w:rPr>
        <w:t xml:space="preserve">» </w:t>
      </w:r>
      <w:r w:rsidRPr="0066196D">
        <w:rPr>
          <w:rStyle w:val="17pt-1pt"/>
          <w:sz w:val="32"/>
          <w:szCs w:val="32"/>
        </w:rPr>
        <w:t>03</w:t>
      </w:r>
      <w:r>
        <w:tab/>
      </w:r>
      <w:r w:rsidRPr="0066196D">
        <w:rPr>
          <w:sz w:val="32"/>
          <w:szCs w:val="32"/>
        </w:rPr>
        <w:t>2025г.</w:t>
      </w:r>
      <w:r w:rsidRPr="0066196D">
        <w:rPr>
          <w:sz w:val="32"/>
          <w:szCs w:val="32"/>
        </w:rPr>
        <w:tab/>
      </w:r>
      <w:r w:rsidRPr="0066196D">
        <w:rPr>
          <w:sz w:val="32"/>
          <w:szCs w:val="32"/>
          <w:lang w:eastAsia="en-US" w:bidi="en-US"/>
        </w:rPr>
        <w:t>№</w:t>
      </w:r>
      <w:r w:rsidR="0066196D" w:rsidRPr="002622EF">
        <w:rPr>
          <w:sz w:val="32"/>
          <w:szCs w:val="32"/>
          <w:u w:val="single"/>
          <w:lang w:eastAsia="en-US" w:bidi="en-US"/>
        </w:rPr>
        <w:t>59</w:t>
      </w:r>
    </w:p>
    <w:p w:rsidR="00925EC1" w:rsidRDefault="00BE544E">
      <w:pPr>
        <w:pStyle w:val="2"/>
        <w:framePr w:w="9470" w:h="13248" w:hRule="exact" w:wrap="around" w:vAnchor="page" w:hAnchor="page" w:x="1234" w:y="2620"/>
        <w:shd w:val="clear" w:color="auto" w:fill="auto"/>
        <w:spacing w:after="293" w:line="317" w:lineRule="exact"/>
        <w:ind w:right="40" w:firstLine="0"/>
        <w:jc w:val="center"/>
      </w:pPr>
      <w:r>
        <w:t>Основные положения учетной политики муниципального казенного учреждения «Дирекция эксплуатации административных зданий и инженерных систем»</w:t>
      </w:r>
    </w:p>
    <w:p w:rsidR="00925EC1" w:rsidRDefault="00BE544E">
      <w:pPr>
        <w:pStyle w:val="2"/>
        <w:framePr w:w="9470" w:h="13248" w:hRule="exact" w:wrap="around" w:vAnchor="page" w:hAnchor="page" w:x="1234" w:y="2620"/>
        <w:shd w:val="clear" w:color="auto" w:fill="auto"/>
        <w:spacing w:after="0" w:line="326" w:lineRule="exact"/>
        <w:ind w:left="20" w:right="20" w:firstLine="580"/>
        <w:jc w:val="both"/>
      </w:pPr>
      <w:r>
        <w:t>Организация и ведение бюджетного (бухгалтерского) учета, а также формирование бюджетной отчетности регламентируется нормативно правовыми актами: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firstLine="580"/>
        <w:jc w:val="both"/>
      </w:pPr>
      <w:r>
        <w:t xml:space="preserve"> Бюджетный кодекс Российской Федерации;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firstLine="580"/>
        <w:jc w:val="both"/>
      </w:pPr>
      <w:r>
        <w:t xml:space="preserve"> Налоговый кодекс Российской Федерации;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firstLine="580"/>
        <w:jc w:val="both"/>
      </w:pPr>
      <w:r>
        <w:t xml:space="preserve"> Градостроительный кодекс Российской Федерации;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firstLine="580"/>
        <w:jc w:val="both"/>
      </w:pPr>
      <w:r>
        <w:t xml:space="preserve"> Гражданский кодекс Российской Федерации;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Федеральный закон Российской Федерации от 06.12.2011г. № 402-ФЗ «О бухгалтерском учете» (с изменениями и дополнениями);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Федеральные стандарты бухгалтерского учета для организаций государственного сектора и Методические рекомендации по применению этих федеральных стандартов, доведенные письмами Минфина России;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Приказ Минфина РФ от 01.12.2010г. № 157н «Об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 и дополнениями);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Приказ Минфина РФ от 06.12.2010г. № 162н «Об утверждении Плана счетов бюджетного учета и Инструкции по его применению» (с изменениями и дополнениями);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Приказ Минфина РФ от 28.12.2010г. № 191н «Об утверждении Инструкции о порядке составления и предоставления годовой, квартальной и месячной отчетности об исполнении бюджетной системы РФ» (с изменениями и дополнениями);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tabs>
          <w:tab w:val="right" w:pos="4940"/>
          <w:tab w:val="center" w:pos="6030"/>
          <w:tab w:val="left" w:pos="7191"/>
        </w:tabs>
        <w:spacing w:after="0" w:line="317" w:lineRule="exact"/>
        <w:ind w:left="20" w:right="20" w:firstLine="580"/>
        <w:jc w:val="both"/>
      </w:pPr>
      <w:r>
        <w:t xml:space="preserve"> Приказ Минфина РФ от 30.03.2015г.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</w:t>
      </w:r>
      <w:r>
        <w:tab/>
        <w:t>внебюджетными</w:t>
      </w:r>
      <w:r>
        <w:tab/>
        <w:t>фондами,</w:t>
      </w:r>
      <w:r>
        <w:tab/>
        <w:t>государственными</w:t>
      </w:r>
    </w:p>
    <w:p w:rsidR="00925EC1" w:rsidRDefault="00BE544E">
      <w:pPr>
        <w:pStyle w:val="2"/>
        <w:framePr w:w="9470" w:h="13248" w:hRule="exact" w:wrap="around" w:vAnchor="page" w:hAnchor="page" w:x="1234" w:y="2620"/>
        <w:shd w:val="clear" w:color="auto" w:fill="auto"/>
        <w:spacing w:after="0" w:line="317" w:lineRule="exact"/>
        <w:ind w:left="20" w:right="20" w:firstLine="0"/>
        <w:jc w:val="both"/>
      </w:pPr>
      <w:r>
        <w:t>(муниципальными) учреждениями, и Методических указаний по их применению» (с изменениями и дополнениями);</w:t>
      </w:r>
    </w:p>
    <w:p w:rsidR="00925EC1" w:rsidRDefault="00BE544E">
      <w:pPr>
        <w:pStyle w:val="2"/>
        <w:framePr w:w="9470" w:h="13248" w:hRule="exact" w:wrap="around" w:vAnchor="page" w:hAnchor="page" w:x="1234" w:y="2620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580"/>
        <w:jc w:val="both"/>
      </w:pPr>
      <w:r>
        <w:t xml:space="preserve"> Приказ Минфина РФ от 15.04.2021г. </w:t>
      </w:r>
      <w:r>
        <w:rPr>
          <w:rStyle w:val="1pt"/>
        </w:rPr>
        <w:t>№61н</w:t>
      </w:r>
      <w:r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925EC1" w:rsidRDefault="00925EC1">
      <w:pPr>
        <w:rPr>
          <w:sz w:val="2"/>
          <w:szCs w:val="2"/>
        </w:rPr>
        <w:sectPr w:rsidR="00925E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298" w:lineRule="exact"/>
        <w:ind w:left="40" w:right="40" w:firstLine="0"/>
        <w:jc w:val="both"/>
      </w:pPr>
      <w:r>
        <w:lastRenderedPageBreak/>
        <w:t>по поступлению и выбытию активов, с учетом установленного срока полезного использования.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12" w:lineRule="exact"/>
        <w:ind w:left="40" w:right="40" w:firstLine="540"/>
        <w:jc w:val="both"/>
      </w:pPr>
      <w:r>
        <w:t>Амортизация начисляется только по неисключительным правам пользования на ПО с определенным сроком полезного использования линейным методом.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22" w:lineRule="exact"/>
        <w:ind w:left="40" w:right="40" w:firstLine="540"/>
        <w:jc w:val="both"/>
      </w:pPr>
      <w:r>
        <w:t>Расчеты по выданным под отчет сотрудникам учреждения денежных средств, а также расчеты по выплате подотчетным лицам перерасходов (в том числе и в тех случаях, когда денежные средства под отчет не выдавались) подлежат учету на счете 1 208 00 ООО «Расчеты с подотчетными лицами» (порядок расчетов с подотчетными лицами установлен приложением №16 к Положению об Учетной политике).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22" w:lineRule="exact"/>
        <w:ind w:left="40" w:right="40" w:firstLine="540"/>
        <w:jc w:val="both"/>
      </w:pPr>
      <w:r>
        <w:t>Для учета рабочего времени и расчета заработной платы используется Табель (ф.0504421).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26" w:lineRule="exact"/>
        <w:ind w:left="40" w:firstLine="540"/>
        <w:jc w:val="both"/>
      </w:pPr>
      <w:r>
        <w:t>В табеле учитывать фактические затраты рабочего времени.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26" w:lineRule="exact"/>
        <w:ind w:left="40" w:right="40" w:firstLine="540"/>
        <w:jc w:val="both"/>
      </w:pPr>
      <w:r>
        <w:t>На счете 1 401 40 000 «Доходы будущих периодов» учитываются доходы от штрафов, пеней, неустоек, в случае если предъявленное учреждением требование об уплате штрафов, пеней, неустоек может быть оспорено контрагентом в суде, а также доходы от операций с объектами аренды (предстоящие доходы от предоставления права пользования активом).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17" w:lineRule="exact"/>
        <w:ind w:left="40" w:right="40" w:firstLine="540"/>
        <w:jc w:val="both"/>
      </w:pPr>
      <w:r>
        <w:t>В составе расходов буду</w:t>
      </w:r>
      <w:r>
        <w:rPr>
          <w:rStyle w:val="1"/>
        </w:rPr>
        <w:t>щи</w:t>
      </w:r>
      <w:r>
        <w:t>х периодов на счете 1 401 50 000 отражаются расходы связанные: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22" w:lineRule="exact"/>
        <w:ind w:left="40" w:right="40" w:firstLine="1200"/>
        <w:jc w:val="both"/>
      </w:pPr>
      <w:r>
        <w:t>с обязательным страхованием ОСАГО (КАСКО). Списание производить равномерно (ежемесячно) в течении всего срока действия страхового полиса;</w:t>
      </w:r>
    </w:p>
    <w:p w:rsidR="00925EC1" w:rsidRDefault="00BE544E">
      <w:pPr>
        <w:pStyle w:val="2"/>
        <w:framePr w:w="9427" w:h="14716" w:hRule="exact" w:wrap="around" w:vAnchor="page" w:hAnchor="page" w:x="1256" w:y="1037"/>
        <w:numPr>
          <w:ilvl w:val="0"/>
          <w:numId w:val="1"/>
        </w:numPr>
        <w:shd w:val="clear" w:color="auto" w:fill="auto"/>
        <w:spacing w:after="0" w:line="322" w:lineRule="exact"/>
        <w:ind w:left="40" w:right="40" w:firstLine="540"/>
        <w:jc w:val="both"/>
      </w:pPr>
      <w:r>
        <w:t xml:space="preserve"> с выплатой по ежегодному оплачиваемому отпуску, за неотработанные дни отпуска. Списание производить по мере отработки работником периода, за который предоставлен этот отпуск;</w:t>
      </w:r>
    </w:p>
    <w:p w:rsidR="00925EC1" w:rsidRDefault="00BE544E">
      <w:pPr>
        <w:pStyle w:val="2"/>
        <w:framePr w:w="9427" w:h="14716" w:hRule="exact" w:wrap="around" w:vAnchor="page" w:hAnchor="page" w:x="1256" w:y="1037"/>
        <w:numPr>
          <w:ilvl w:val="0"/>
          <w:numId w:val="1"/>
        </w:numPr>
        <w:shd w:val="clear" w:color="auto" w:fill="auto"/>
        <w:spacing w:after="0" w:line="322" w:lineRule="exact"/>
        <w:ind w:left="40" w:right="40" w:firstLine="540"/>
        <w:jc w:val="both"/>
      </w:pPr>
      <w:r>
        <w:t xml:space="preserve"> с приобретением прав пользования нематериальными активами, если срок их использования менее или равен 12 месяцам и программный продукт используется в двух отчетных годах. Списание производить равномерно (ежемесячно) в течении всего срока действия прав (договора).</w:t>
      </w:r>
    </w:p>
    <w:p w:rsidR="00925EC1" w:rsidRDefault="00BE544E">
      <w:pPr>
        <w:pStyle w:val="2"/>
        <w:framePr w:w="9427" w:h="14716" w:hRule="exact" w:wrap="around" w:vAnchor="page" w:hAnchor="page" w:x="1256" w:y="1037"/>
        <w:shd w:val="clear" w:color="auto" w:fill="auto"/>
        <w:spacing w:after="0" w:line="317" w:lineRule="exact"/>
        <w:ind w:left="40" w:firstLine="540"/>
        <w:jc w:val="both"/>
      </w:pPr>
      <w:r>
        <w:t>На счете 1 401 60 000 формируются следующие виды резервов:</w:t>
      </w:r>
    </w:p>
    <w:p w:rsidR="00925EC1" w:rsidRDefault="00BE544E">
      <w:pPr>
        <w:pStyle w:val="2"/>
        <w:framePr w:w="9427" w:h="14716" w:hRule="exact" w:wrap="around" w:vAnchor="page" w:hAnchor="page" w:x="1256" w:y="1037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540"/>
        <w:jc w:val="both"/>
      </w:pPr>
      <w:r>
        <w:t xml:space="preserve"> на оплату отпусков за фактически отработанное время (или) компенсаций за неиспользованный отпуск с неопределенным временем исполнения, включая платежи на страховые взносы;</w:t>
      </w:r>
    </w:p>
    <w:p w:rsidR="00925EC1" w:rsidRDefault="00BE544E">
      <w:pPr>
        <w:pStyle w:val="2"/>
        <w:framePr w:w="9427" w:h="14716" w:hRule="exact" w:wrap="around" w:vAnchor="page" w:hAnchor="page" w:x="1256" w:y="1037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540"/>
        <w:jc w:val="both"/>
      </w:pPr>
      <w:r>
        <w:t xml:space="preserve"> расходных обязательств, оспариваемых в судебном порядке, а также возникающих из претензионных требований и исков по результатам фактов хозяйственной жизни, в том числе в рамках досудебного (внесудебного) рассмотрения претензий;</w:t>
      </w:r>
    </w:p>
    <w:p w:rsidR="00925EC1" w:rsidRDefault="00BE544E">
      <w:pPr>
        <w:pStyle w:val="2"/>
        <w:framePr w:w="9427" w:h="14716" w:hRule="exact" w:wrap="around" w:vAnchor="page" w:hAnchor="page" w:x="1256" w:y="1037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540"/>
        <w:jc w:val="both"/>
      </w:pPr>
      <w:r>
        <w:t xml:space="preserve"> за поставленные материальные ценности, сданные работы, предоставленные (потребленные) услуги, обусловленные обязанностью заказчика принять и исполнить денежное обязательство по результатам приемки поставленных товаров (выполненных работ, оказанных услуг), в случае оформления документа о приемке не в момент поставки товара (сдачи результатов работ, оказания услуг);</w:t>
      </w:r>
    </w:p>
    <w:p w:rsidR="00925EC1" w:rsidRDefault="00925EC1">
      <w:pPr>
        <w:rPr>
          <w:sz w:val="2"/>
          <w:szCs w:val="2"/>
        </w:rPr>
        <w:sectPr w:rsidR="00925E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07" w:lineRule="exact"/>
        <w:ind w:left="20" w:right="60" w:firstLine="580"/>
        <w:jc w:val="both"/>
      </w:pPr>
      <w:r>
        <w:lastRenderedPageBreak/>
        <w:t xml:space="preserve"> Приказ Минфина России от 24 мая 2022г. № 82н «О Порядке формирования и применения кодов бюджетной классификации Российской Федерации, их структуре и принципах назначения» (с изменениями и дополнениями);</w:t>
      </w: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07" w:lineRule="exact"/>
        <w:ind w:left="20" w:right="60" w:firstLine="580"/>
        <w:jc w:val="both"/>
      </w:pPr>
      <w:r>
        <w:t xml:space="preserve"> Приказ Минфина РФ от 29.11.17г. № 209н «Об утверждении Порядка применения классификации операций сектора государственного управления» (с изменениями и дополнениями);</w:t>
      </w: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22" w:lineRule="exact"/>
        <w:ind w:left="20" w:right="60" w:firstLine="580"/>
        <w:jc w:val="both"/>
      </w:pPr>
      <w:r>
        <w:t xml:space="preserve"> Постановление Госкомстата РФ от 11.11.1999г. № 100 «Об утверждении унифицированных форм первичной учетной документации по учету работ в капитальном строительстве и ремонтно-строительных работ».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0" w:right="60" w:firstLine="580"/>
        <w:jc w:val="both"/>
      </w:pPr>
      <w:r>
        <w:t>Ведение бюджетного (бухгалтерского) учета возложено на бухгалтерию учреждения. Организацию учетной работы и распределение ее объема осуществляет главный бухгалтер, который подчиняется непосредственно директору учреждения.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0" w:right="60" w:firstLine="580"/>
        <w:jc w:val="both"/>
      </w:pPr>
      <w:r>
        <w:t>Бухгалтерская служба осуществляет свою деятельность в тесном взаимодействии с планово-экономическим отделом, отделом кадров и другими отделами Учреждения.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0" w:right="60" w:firstLine="580"/>
        <w:jc w:val="both"/>
      </w:pPr>
      <w:r>
        <w:t>Ведение бюджетного (бухгалтерского) учета формируется в базе данных программного продукта «1C: Бухгалтерия государственного учреждения 8», «1C Заработная плата» с Рабочим планом счетов (приложение №3 к Положению об учетной политики), Инструкцией по бюджетному учету и типовыми проектными решениями по комплексной автоматизации бюджетного учета.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tabs>
          <w:tab w:val="right" w:pos="9442"/>
        </w:tabs>
        <w:spacing w:after="0" w:line="322" w:lineRule="exact"/>
        <w:ind w:left="20" w:right="60" w:firstLine="580"/>
        <w:jc w:val="both"/>
      </w:pPr>
      <w:r>
        <w:t>Для предоставления отчетности и информации с использованием телекоммуникационных каналов связи и электронной подписи в работе применяются специальные программные продукты:</w:t>
      </w:r>
      <w:r>
        <w:tab/>
        <w:t>«АЦК-Финансы»,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0" w:right="60" w:firstLine="0"/>
        <w:jc w:val="both"/>
      </w:pPr>
      <w:r w:rsidRPr="00F03775">
        <w:rPr>
          <w:lang w:eastAsia="en-US" w:bidi="en-US"/>
        </w:rPr>
        <w:t>«</w:t>
      </w:r>
      <w:r>
        <w:rPr>
          <w:lang w:val="en-US" w:eastAsia="en-US" w:bidi="en-US"/>
        </w:rPr>
        <w:t>Web</w:t>
      </w:r>
      <w:r w:rsidRPr="00F03775">
        <w:rPr>
          <w:lang w:eastAsia="en-US" w:bidi="en-US"/>
        </w:rPr>
        <w:t xml:space="preserve"> </w:t>
      </w:r>
      <w:r>
        <w:t xml:space="preserve">- Консолидация», МУН «Электронный бюджет», «СУФД», ЕИС, АРМ «Учет имущества», КОНТУР Экстерн, система Диадок, с территориальным органом Казначейства России, передача отчетности по налогам, сборам, страховым взносам и иным обязательным платежам в инспекцию Федеральной налоговой службы, передача отчетности по страховым взносам и сведениям персонифицированного учета в Социальный фонд России размещение информации о деятельности учреждения на официальном сайте </w:t>
      </w:r>
      <w:r>
        <w:rPr>
          <w:lang w:val="en-US" w:eastAsia="en-US" w:bidi="en-US"/>
        </w:rPr>
        <w:t>bus</w:t>
      </w:r>
      <w:r w:rsidRPr="00F03775">
        <w:rPr>
          <w:lang w:eastAsia="en-US" w:bidi="en-US"/>
        </w:rPr>
        <w:t>.</w:t>
      </w:r>
      <w:r>
        <w:rPr>
          <w:lang w:val="en-US" w:eastAsia="en-US" w:bidi="en-US"/>
        </w:rPr>
        <w:t>gov</w:t>
      </w:r>
      <w:r w:rsidRPr="00F0377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F03775">
        <w:rPr>
          <w:lang w:eastAsia="en-US" w:bidi="en-US"/>
        </w:rPr>
        <w:t>.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0" w:right="60" w:firstLine="580"/>
        <w:jc w:val="both"/>
      </w:pPr>
      <w:r>
        <w:t>Для документального оформления фактов хозяйственной жизни и отражения объектов учета используются:</w:t>
      </w: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22" w:lineRule="exact"/>
        <w:ind w:left="260" w:right="60" w:firstLine="580"/>
        <w:jc w:val="both"/>
      </w:pPr>
      <w:r>
        <w:t xml:space="preserve"> формы первичных (сводных) документов утвержденные Приказами № 52н и № 61н;</w:t>
      </w: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22" w:lineRule="exact"/>
        <w:ind w:left="260" w:right="60" w:firstLine="580"/>
        <w:jc w:val="both"/>
      </w:pPr>
      <w:r>
        <w:t xml:space="preserve"> унифицированные формы первичной учетной документации,</w:t>
      </w:r>
      <w:r w:rsidR="002622EF">
        <w:t xml:space="preserve"> утвержденные Постановлениями Г</w:t>
      </w:r>
      <w:r>
        <w:t>оскомстата (Роскомстата) России;</w:t>
      </w:r>
    </w:p>
    <w:p w:rsidR="00925EC1" w:rsidRDefault="00BE544E">
      <w:pPr>
        <w:pStyle w:val="2"/>
        <w:framePr w:w="9446" w:h="14662" w:hRule="exact" w:wrap="around" w:vAnchor="page" w:hAnchor="page" w:x="1246" w:y="1089"/>
        <w:shd w:val="clear" w:color="auto" w:fill="auto"/>
        <w:spacing w:after="0" w:line="322" w:lineRule="exact"/>
        <w:ind w:left="260" w:right="60" w:firstLine="1080"/>
      </w:pPr>
      <w:r>
        <w:t>утвержденные правовые акты уполномоченных органов исполнительной власти;</w:t>
      </w:r>
    </w:p>
    <w:p w:rsidR="00925EC1" w:rsidRDefault="00BE544E">
      <w:pPr>
        <w:pStyle w:val="2"/>
        <w:framePr w:w="9446" w:h="14662" w:hRule="exact" w:wrap="around" w:vAnchor="page" w:hAnchor="page" w:x="1246" w:y="1089"/>
        <w:numPr>
          <w:ilvl w:val="0"/>
          <w:numId w:val="1"/>
        </w:numPr>
        <w:shd w:val="clear" w:color="auto" w:fill="auto"/>
        <w:spacing w:after="0" w:line="322" w:lineRule="exact"/>
        <w:ind w:left="260" w:right="60" w:firstLine="580"/>
        <w:jc w:val="both"/>
      </w:pPr>
      <w:r>
        <w:t xml:space="preserve"> формы документов, которые определены приложениями к муниципальным контрактам (договорам) на оказание услуг или выполнение работ с конкретными контрагентами с обязательным наличием реквизитов первичных документов.</w:t>
      </w:r>
    </w:p>
    <w:p w:rsidR="00925EC1" w:rsidRDefault="00925EC1">
      <w:pPr>
        <w:rPr>
          <w:sz w:val="2"/>
          <w:szCs w:val="2"/>
        </w:rPr>
        <w:sectPr w:rsidR="00925E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5EC1" w:rsidRDefault="00BE544E">
      <w:pPr>
        <w:pStyle w:val="2"/>
        <w:framePr w:w="9475" w:h="14894" w:hRule="exact" w:wrap="around" w:vAnchor="page" w:hAnchor="page" w:x="1232" w:y="973"/>
        <w:numPr>
          <w:ilvl w:val="0"/>
          <w:numId w:val="1"/>
        </w:numPr>
        <w:shd w:val="clear" w:color="auto" w:fill="auto"/>
        <w:spacing w:after="0" w:line="317" w:lineRule="exact"/>
        <w:ind w:left="20" w:right="80" w:firstLine="560"/>
        <w:jc w:val="both"/>
      </w:pPr>
      <w:r>
        <w:lastRenderedPageBreak/>
        <w:t xml:space="preserve"> регистры, разработанные и утвержденные приложениями к Положению об учетной политики МКУ «ДЭАЗиИС», для которых не предусмотрены типовые формы первичных документов.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17" w:lineRule="exact"/>
        <w:ind w:left="20" w:right="80" w:firstLine="560"/>
        <w:jc w:val="both"/>
      </w:pPr>
      <w:r>
        <w:t>Первичные документы принимаются к учету, как на бумажном носителе, так и в форме электронного документа подписанного квалифицированной (простой) электронной подписью с обязательными реквизитами.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Копии электронных документов формируются на бумажном носителе и заверяются специалистами бухгалтерии с указанием заверительной надписи «Копия верна»; личная подпись; расшифровка подписи (инициалы, фамилия); дата заверения и подшиваются к регистрам бухгалтерского учета.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6" w:lineRule="exact"/>
        <w:ind w:left="20" w:right="80" w:firstLine="560"/>
        <w:jc w:val="both"/>
      </w:pPr>
      <w:r>
        <w:t>Отражение в бухгалтерском учете факта хозяйственной деятельности осуществляется по мере поступления первичных учетных документов, но не позднее следующего дня после их получения, как на основании отдельных документов, так и на основании группы однородных документов.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Устанавливаются следующие особенности отражения в бухгалтерском учете фактов хозяйственной жизни, оформленных первичными учетными документами, поступившими с опозданием:</w:t>
      </w:r>
    </w:p>
    <w:p w:rsidR="00925EC1" w:rsidRDefault="00BE544E">
      <w:pPr>
        <w:pStyle w:val="2"/>
        <w:framePr w:w="9475" w:h="14894" w:hRule="exact" w:wrap="around" w:vAnchor="page" w:hAnchor="page" w:x="1232" w:y="973"/>
        <w:numPr>
          <w:ilvl w:val="0"/>
          <w:numId w:val="1"/>
        </w:numPr>
        <w:shd w:val="clear" w:color="auto" w:fill="auto"/>
        <w:spacing w:after="0" w:line="322" w:lineRule="exact"/>
        <w:ind w:left="20" w:right="80" w:firstLine="560"/>
        <w:jc w:val="both"/>
      </w:pPr>
      <w:r>
        <w:t xml:space="preserve"> закрытие отчетного месяца (в том числе квартала) производится за 10 рабочих дней до предельной даты представления промежуточной бухгалтерской отчетности.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При поступлении документов отчетного месяца в следующем месяце до даты закрытия месяца операции в бухгалтерском учете отражаются последним днем отчетного месяца.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При поступлении документов отчетного месяца в следующем месяце после даты закрытия месяца операции в бухгалтерском учете отражаются датой поступления документов.</w:t>
      </w:r>
    </w:p>
    <w:p w:rsidR="00925EC1" w:rsidRDefault="00BE544E">
      <w:pPr>
        <w:pStyle w:val="2"/>
        <w:framePr w:w="9475" w:h="14894" w:hRule="exact" w:wrap="around" w:vAnchor="page" w:hAnchor="page" w:x="1232" w:y="973"/>
        <w:numPr>
          <w:ilvl w:val="0"/>
          <w:numId w:val="1"/>
        </w:numPr>
        <w:shd w:val="clear" w:color="auto" w:fill="auto"/>
        <w:spacing w:after="0" w:line="322" w:lineRule="exact"/>
        <w:ind w:left="20" w:right="80" w:firstLine="560"/>
        <w:jc w:val="both"/>
      </w:pPr>
      <w:r>
        <w:t xml:space="preserve"> закрытие отчетного года производится за 10 рабочих дней до предельной даты представления годовой бухгалтерской отчетности.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При поступлении документов прошлого года в очередном году до закрытия отчетного года операции в бухгалтерском учете отражаются последним днем отчетного года.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При поступлении документов отчетного года после даты принятия годовой бухгалтерской отчетности операции отражаются как ошибки прошлых лет.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События после отчетной даты отражаются в учете и отчетности в период между отчетной датой и датой подписания и (или) принятия бухгалтерской (финансовой) отчетности с учетом существенности фактов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(приложение №7 к Положению об учетной политики).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22" w:lineRule="exact"/>
        <w:ind w:left="20" w:right="80" w:firstLine="560"/>
        <w:jc w:val="both"/>
      </w:pPr>
      <w:r>
        <w:t>Достоверность данных бухгалтерского учета подтверждается проведением инвентаризации (Положение об инвентаризации приложение №6 к Положению об учетной политики).</w:t>
      </w:r>
    </w:p>
    <w:p w:rsidR="00925EC1" w:rsidRDefault="00BE544E">
      <w:pPr>
        <w:pStyle w:val="2"/>
        <w:framePr w:w="9475" w:h="14894" w:hRule="exact" w:wrap="around" w:vAnchor="page" w:hAnchor="page" w:x="1232" w:y="973"/>
        <w:shd w:val="clear" w:color="auto" w:fill="auto"/>
        <w:spacing w:after="0" w:line="307" w:lineRule="exact"/>
        <w:ind w:left="20" w:right="80" w:firstLine="560"/>
        <w:jc w:val="both"/>
      </w:pPr>
      <w:r>
        <w:rPr>
          <w:rStyle w:val="115pt0pt"/>
        </w:rPr>
        <w:t xml:space="preserve">В целях принятия коллегиальных решений создается комиссия, для </w:t>
      </w:r>
      <w:r>
        <w:t xml:space="preserve">проведения инвентаризации, принятие к учету и списанию нефинансовых активов (обязательств) (приложение №1 </w:t>
      </w:r>
      <w:r>
        <w:rPr>
          <w:rStyle w:val="115pt0pt"/>
        </w:rPr>
        <w:t xml:space="preserve">к </w:t>
      </w:r>
      <w:r>
        <w:t>Положению об учетной политики),</w:t>
      </w:r>
    </w:p>
    <w:p w:rsidR="00925EC1" w:rsidRDefault="00925EC1">
      <w:pPr>
        <w:rPr>
          <w:sz w:val="2"/>
          <w:szCs w:val="2"/>
        </w:rPr>
        <w:sectPr w:rsidR="00925E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17" w:lineRule="exact"/>
        <w:ind w:left="20" w:right="80" w:firstLine="0"/>
        <w:jc w:val="both"/>
      </w:pPr>
      <w:r>
        <w:lastRenderedPageBreak/>
        <w:t>которая осуществляет свою деятельность в соответствии с Положением о комиссии (приложение №2 к Положению об учетной политики).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26" w:lineRule="exact"/>
        <w:ind w:left="40" w:right="60" w:firstLine="560"/>
        <w:jc w:val="both"/>
      </w:pPr>
      <w:r>
        <w:t>Принятие к учету объектов нефинансовых активов, в том числе объекты основных средств, введенные в эксплуатацию стоимостью до 10 ООО рублей включительно и материальные запасы, в отношении которых, устанавливается срок эксплуатации производить на основании утверждённого руководителем Решения о признании НФА (ф.0510441) по факту документального подтверждения их приобретения согласно условиям государственных контрактов (договоров).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17" w:lineRule="exact"/>
        <w:ind w:left="40" w:right="60" w:firstLine="560"/>
        <w:jc w:val="both"/>
      </w:pPr>
      <w:r>
        <w:t>В учреждении справедливая стоимость определяется Комиссией по поступлению и выбытию активов методом рыночных цен на основании следующих данных.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26" w:lineRule="exact"/>
        <w:ind w:left="40" w:right="60" w:firstLine="560"/>
        <w:jc w:val="both"/>
      </w:pPr>
      <w:r>
        <w:t>Объекты нефинансовых активов, полученные учреждением, безвозмездно от организаций государственного сектора первоначально признавать в бухгалтерском учете в оценке, определенной передающей стороной - по стоимости, отраженной в передаточных документах и принимаются к учету в составе тех же групп и видов имущества, что и у передающей стороны.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22" w:lineRule="exact"/>
        <w:ind w:left="40" w:right="60" w:firstLine="560"/>
        <w:jc w:val="both"/>
      </w:pPr>
      <w:r>
        <w:t>Начисление амортизации производить линейным методом, начиная первого числа месяца, следующего за месяцем принятия объекта к бухгалтерскому учету и производить ежемесячно до полного погашения стоимости этого объекта либо его выбытия (в том числе по основанию списания объекта с бухгалтерского учета.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17" w:lineRule="exact"/>
        <w:ind w:left="40" w:right="60" w:firstLine="560"/>
        <w:jc w:val="both"/>
      </w:pPr>
      <w:r>
        <w:t>Объекты имущества, полученные по договору операционной аренды, отражаются как самостоятельный объект на счете 1 111 40 ООО «Права пользования имуществом».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17" w:lineRule="exact"/>
        <w:ind w:left="40" w:right="60" w:firstLine="560"/>
        <w:jc w:val="both"/>
      </w:pPr>
      <w:r>
        <w:t>Начисление амортизации права пользования активом осуществляется ежемесячно первого числа, пропорционально сумме арендных платежей, установленных графиком причитающихся к уплате одновременно с признанием кредиторской задолженности по счету 1 302 29 731 за счет сформированного резерва.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17" w:lineRule="exact"/>
        <w:ind w:left="40" w:right="60" w:firstLine="560"/>
        <w:jc w:val="both"/>
      </w:pPr>
      <w:r>
        <w:t>Материальные запасы принимаются к бухгалтерскому учету по фактической стоимости.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07" w:lineRule="exact"/>
        <w:ind w:left="40" w:right="60" w:firstLine="560"/>
        <w:jc w:val="both"/>
      </w:pPr>
      <w:r>
        <w:t>Выбор единицы учета материальных запасов зависит от характера материальных запасов, их приобретения и принимается к учету самостоятельно (штуках, килограммах, метрах и т.п.).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322" w:lineRule="exact"/>
        <w:ind w:left="40" w:right="60" w:firstLine="560"/>
        <w:jc w:val="both"/>
      </w:pPr>
      <w:r>
        <w:t>К нематериальным активам относятся объекты нефинансовых активов, предназначенные для неоднократного и (или) постоянного использования в деятельности учреждения свыше 12 месяцев, не имеющие материально</w:t>
      </w:r>
      <w:r>
        <w:softHyphen/>
      </w:r>
      <w:r w:rsidR="002622EF">
        <w:t xml:space="preserve"> </w:t>
      </w:r>
      <w:r>
        <w:t>вещественной формы, с возможностью идентификации (выделения, отделения) от другого имущества, в отношении которых у учреждения возникают неисключительные права пользования.</w:t>
      </w:r>
    </w:p>
    <w:p w:rsidR="00925EC1" w:rsidRDefault="00BE544E">
      <w:pPr>
        <w:pStyle w:val="2"/>
        <w:framePr w:w="9413" w:h="14441" w:hRule="exact" w:wrap="around" w:vAnchor="page" w:hAnchor="page" w:x="1263" w:y="1162"/>
        <w:shd w:val="clear" w:color="auto" w:fill="auto"/>
        <w:spacing w:after="0" w:line="283" w:lineRule="exact"/>
        <w:ind w:left="40" w:right="60" w:firstLine="560"/>
        <w:jc w:val="both"/>
      </w:pPr>
      <w:r>
        <w:t>Программное обеспечение принимать к учету с момента его признания по первоначальной стоимости на основании Решения Комиссии учреждения</w:t>
      </w:r>
    </w:p>
    <w:p w:rsidR="00925EC1" w:rsidRDefault="00925EC1">
      <w:pPr>
        <w:rPr>
          <w:sz w:val="2"/>
          <w:szCs w:val="2"/>
        </w:rPr>
        <w:sectPr w:rsidR="00925E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5EC1" w:rsidRDefault="00BE544E">
      <w:pPr>
        <w:pStyle w:val="2"/>
        <w:framePr w:w="9427" w:h="6866" w:hRule="exact" w:wrap="around" w:vAnchor="page" w:hAnchor="page" w:x="1256" w:y="973"/>
        <w:shd w:val="clear" w:color="auto" w:fill="auto"/>
        <w:spacing w:after="0" w:line="322" w:lineRule="exact"/>
        <w:ind w:left="20" w:right="80" w:firstLine="580"/>
        <w:jc w:val="both"/>
      </w:pPr>
      <w:r>
        <w:lastRenderedPageBreak/>
        <w:t>- предстоящих расходов по арендной плате за пользование земельными участками в сумме арендных платежей, исчисленной за весь срок пользования нефинансовыми активами в соответствии с договором аренды.</w:t>
      </w:r>
    </w:p>
    <w:p w:rsidR="00925EC1" w:rsidRDefault="00BE544E">
      <w:pPr>
        <w:pStyle w:val="2"/>
        <w:framePr w:w="9427" w:h="6866" w:hRule="exact" w:wrap="around" w:vAnchor="page" w:hAnchor="page" w:x="1256" w:y="973"/>
        <w:shd w:val="clear" w:color="auto" w:fill="auto"/>
        <w:spacing w:after="0" w:line="326" w:lineRule="exact"/>
        <w:ind w:left="20" w:right="80" w:firstLine="580"/>
        <w:jc w:val="both"/>
      </w:pPr>
      <w:r>
        <w:t>На забалансовом счете 03 «Бланки строгой отчетности» учитываются бланки трудовых книжек и вкладышей к ним с момента их выдачи со склада ответственным лицам в рамках хозяйственной деятельности учреждения с целью их оформления/использования по стоимости приобретения.</w:t>
      </w:r>
    </w:p>
    <w:p w:rsidR="00925EC1" w:rsidRDefault="00BE544E">
      <w:pPr>
        <w:pStyle w:val="2"/>
        <w:framePr w:w="9427" w:h="6866" w:hRule="exact" w:wrap="around" w:vAnchor="page" w:hAnchor="page" w:x="1256" w:y="973"/>
        <w:shd w:val="clear" w:color="auto" w:fill="auto"/>
        <w:spacing w:after="0" w:line="322" w:lineRule="exact"/>
        <w:ind w:left="20" w:right="80" w:firstLine="580"/>
        <w:jc w:val="both"/>
      </w:pPr>
      <w:r>
        <w:t>На счете 80 «Топливные карты» учитывать топливные карты полученные в рамках договора на поставку ГСМ, в условной оценке 1 рубль за 1 единицу.</w:t>
      </w:r>
    </w:p>
    <w:p w:rsidR="00925EC1" w:rsidRDefault="00BE544E">
      <w:pPr>
        <w:pStyle w:val="2"/>
        <w:framePr w:w="9427" w:h="6866" w:hRule="exact" w:wrap="around" w:vAnchor="page" w:hAnchor="page" w:x="1256" w:y="973"/>
        <w:shd w:val="clear" w:color="auto" w:fill="auto"/>
        <w:spacing w:after="0" w:line="322" w:lineRule="exact"/>
        <w:ind w:left="20" w:right="80" w:firstLine="580"/>
        <w:jc w:val="both"/>
      </w:pPr>
      <w:r>
        <w:t>Проектная документация, разработанная для капитального ремонта, учитывается на забалансовом счете 84 «Проектная документация, полученная по результатам выполнения ПИР, НИР, ОКР и иных работ». Выбытие производить в конце года по результатам годовой инвентаризации на основании решения комиссии учреждения, которое оформлять Актом о списании проектной документации по капитальному ремонту муниципальных объектов, по стоимости по которой они ранее были приняты к забалансовому учету.</w:t>
      </w:r>
    </w:p>
    <w:p w:rsidR="00925EC1" w:rsidRDefault="00BE544E">
      <w:pPr>
        <w:pStyle w:val="2"/>
        <w:framePr w:w="9427" w:h="6866" w:hRule="exact" w:wrap="around" w:vAnchor="page" w:hAnchor="page" w:x="1256" w:y="973"/>
        <w:shd w:val="clear" w:color="auto" w:fill="auto"/>
        <w:spacing w:after="0" w:line="322" w:lineRule="exact"/>
        <w:ind w:left="20" w:right="80" w:firstLine="580"/>
        <w:jc w:val="both"/>
      </w:pPr>
      <w:r>
        <w:t>Объекты нефинансовых активов, полученные на период проведения текущего и капитального ремонтов отражаются на забалансовом счете 85 «Недвижимое имущество, переданное на период проведения текущего и капитального ремонтов».</w:t>
      </w:r>
    </w:p>
    <w:p w:rsidR="00925EC1" w:rsidRDefault="00925EC1">
      <w:pPr>
        <w:rPr>
          <w:sz w:val="2"/>
          <w:szCs w:val="2"/>
        </w:rPr>
      </w:pPr>
      <w:bookmarkStart w:id="0" w:name="_GoBack"/>
      <w:bookmarkEnd w:id="0"/>
    </w:p>
    <w:sectPr w:rsidR="00925EC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4E" w:rsidRDefault="00BE544E">
      <w:r>
        <w:separator/>
      </w:r>
    </w:p>
  </w:endnote>
  <w:endnote w:type="continuationSeparator" w:id="0">
    <w:p w:rsidR="00BE544E" w:rsidRDefault="00BE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4E" w:rsidRDefault="00BE544E"/>
  </w:footnote>
  <w:footnote w:type="continuationSeparator" w:id="0">
    <w:p w:rsidR="00BE544E" w:rsidRDefault="00BE5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D33E2"/>
    <w:multiLevelType w:val="multilevel"/>
    <w:tmpl w:val="4C466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C1"/>
    <w:rsid w:val="002622EF"/>
    <w:rsid w:val="0066196D"/>
    <w:rsid w:val="00925EC1"/>
    <w:rsid w:val="00BE544E"/>
    <w:rsid w:val="00F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646"/>
  <w15:docId w15:val="{1EFF0CE4-8FDC-4989-AE76-53C8543C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pt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-1pt">
    <w:name w:val="Основной текст + 17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8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pt0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8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60" w:line="350" w:lineRule="exact"/>
      <w:ind w:hanging="800"/>
    </w:pPr>
    <w:rPr>
      <w:rFonts w:ascii="Times New Roman" w:eastAsia="Times New Roman"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 Семён Алексеевич</dc:creator>
  <cp:lastModifiedBy>Гамаева Дарья Андреевна</cp:lastModifiedBy>
  <cp:revision>3</cp:revision>
  <dcterms:created xsi:type="dcterms:W3CDTF">2025-06-25T11:30:00Z</dcterms:created>
  <dcterms:modified xsi:type="dcterms:W3CDTF">2025-06-25T11:40:00Z</dcterms:modified>
</cp:coreProperties>
</file>